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left"/>
        <w:rPr>
          <w:sz w:val="28"/>
        </w:rPr>
      </w:pPr>
    </w:p>
    <w:p w14:paraId="04000000">
      <w:pPr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6"/>
          <w:highlight w:val="white"/>
        </w:rPr>
        <w:t>В</w:t>
      </w:r>
      <w:r>
        <w:rPr>
          <w:rFonts w:ascii="Times New Roman" w:hAnsi="Times New Roman"/>
          <w:b w:val="1"/>
          <w:sz w:val="28"/>
          <w:highlight w:val="white"/>
        </w:rPr>
        <w:t>несены поправки в отдельные законодательные акты в связи с принятием закона о кредитных каникулах для малого и среднего бизнеса</w:t>
      </w:r>
    </w:p>
    <w:p w14:paraId="05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06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Федеральным законом от 31.07.2025 № 277-ФЗ «О внесении изменений в отдельные законодательные акты Российской Федерации» внесены поправки в отдельные законодательные акты в связи с принятием закона о кредитных каникулах для малого и среднего бизнеса.</w:t>
      </w:r>
    </w:p>
    <w:p w14:paraId="07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Для обеспечения механизма предоставления кредитных каникул представителям МСП вносятся необходимые изменения, в том числе в закон об ипотеке (залоге недвижимости), закон об ипотечных ценных бумагах, закон о кредитных историях.</w:t>
      </w:r>
    </w:p>
    <w:p w14:paraId="08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Законом устанавливаются, в частности, особенности отражения сведений об использовании права на льготный период в кредитной истории заемщика.</w:t>
      </w:r>
    </w:p>
    <w:p w14:paraId="09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Федеральный закон вступает в силу с 1 октября 2025 года.</w:t>
      </w:r>
    </w:p>
    <w:p w14:paraId="0A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2025-10-01T04:20:18Z</dcterms:modified>
</cp:coreProperties>
</file>